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26"/>
        <w:gridCol w:w="142"/>
        <w:gridCol w:w="2835"/>
      </w:tblGrid>
      <w:tr w:rsidTr="008E66FA">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835" w:type="dxa"/>
          <w:cantSplit/>
          <w:trHeight w:val="569"/>
        </w:trPr>
        <w:tc>
          <w:tcPr>
            <w:tcW w:w="4786" w:type="dxa"/>
            <w:shd w:val="clear" w:color="auto" w:fill="BFBFBF"/>
            <w:vAlign w:val="center"/>
          </w:tcPr>
          <w:p w:rsidR="00D4431F" w:rsidRPr="00D4431F" w:rsidP="006149F1">
            <w:pPr>
              <w:spacing w:line="240" w:lineRule="auto"/>
              <w:jc w:val="center"/>
              <w:rPr>
                <w:rFonts w:cstheme="minorHAnsi"/>
                <w:b/>
                <w:bCs/>
              </w:rPr>
            </w:pPr>
            <w:r>
              <w:rPr>
                <w:rFonts w:cstheme="minorHAnsi"/>
                <w:b/>
                <w:bCs/>
              </w:rPr>
              <w:t>Report to</w:t>
            </w:r>
          </w:p>
        </w:tc>
        <w:tc>
          <w:tcPr>
            <w:tcW w:w="2268" w:type="dxa"/>
            <w:gridSpan w:val="2"/>
            <w:shd w:val="clear" w:color="auto" w:fill="BFBFBF"/>
            <w:vAlign w:val="center"/>
          </w:tcPr>
          <w:p w:rsidR="00D4431F" w:rsidRPr="00D4431F" w:rsidP="006149F1">
            <w:pPr>
              <w:spacing w:line="240" w:lineRule="auto"/>
              <w:jc w:val="center"/>
              <w:rPr>
                <w:rFonts w:cstheme="minorHAnsi"/>
                <w:b/>
                <w:bCs/>
              </w:rPr>
            </w:pPr>
            <w:r w:rsidRPr="00D4431F">
              <w:rPr>
                <w:rFonts w:cstheme="minorHAnsi"/>
                <w:b/>
                <w:bCs/>
              </w:rPr>
              <w:t>O</w:t>
            </w:r>
            <w:r>
              <w:rPr>
                <w:rFonts w:cstheme="minorHAnsi"/>
                <w:b/>
                <w:bCs/>
              </w:rPr>
              <w:t>n</w:t>
            </w:r>
          </w:p>
        </w:tc>
      </w:tr>
      <w:tr w:rsidTr="008E66FA">
        <w:tblPrEx>
          <w:tblW w:w="9889" w:type="dxa"/>
          <w:tblLayout w:type="fixed"/>
          <w:tblLook w:val="0000"/>
        </w:tblPrEx>
        <w:trPr>
          <w:gridAfter w:val="1"/>
          <w:wAfter w:w="2835" w:type="dxa"/>
          <w:cantSplit/>
          <w:trHeight w:val="654"/>
        </w:trPr>
        <w:tc>
          <w:tcPr>
            <w:tcW w:w="4786" w:type="dxa"/>
            <w:tcBorders>
              <w:bottom w:val="nil"/>
            </w:tcBorders>
            <w:vAlign w:val="center"/>
          </w:tcPr>
          <w:p w:rsidR="00D4431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rsidR="00D4431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23 March 2021</w:t>
            </w:r>
            <w:r>
              <w:rPr>
                <w:rFonts w:cstheme="minorHAnsi"/>
                <w:b/>
                <w:bCs/>
              </w:rPr>
              <w:fldChar w:fldCharType="end"/>
            </w:r>
          </w:p>
        </w:tc>
      </w:tr>
      <w:tr w:rsidTr="008E66FA">
        <w:tblPrEx>
          <w:tblW w:w="9889" w:type="dxa"/>
          <w:tblLayout w:type="fixed"/>
          <w:tblLook w:val="0000"/>
        </w:tblPrEx>
        <w:trPr>
          <w:gridAfter w:val="1"/>
          <w:wAfter w:w="2835" w:type="dxa"/>
          <w:cantSplit/>
          <w:trHeight w:val="560"/>
        </w:trPr>
        <w:tc>
          <w:tcPr>
            <w:tcW w:w="7054" w:type="dxa"/>
            <w:gridSpan w:val="3"/>
            <w:tcBorders>
              <w:left w:val="nil"/>
              <w:right w:val="nil"/>
            </w:tcBorders>
          </w:tcPr>
          <w:p w:rsidR="00D4431F" w:rsidRPr="00D4431F" w:rsidP="00D4431F">
            <w:pPr>
              <w:spacing w:line="240" w:lineRule="auto"/>
              <w:jc w:val="both"/>
              <w:rPr>
                <w:rFonts w:cstheme="minorHAnsi"/>
                <w:b/>
                <w:bCs/>
              </w:rPr>
            </w:pPr>
          </w:p>
        </w:tc>
      </w:tr>
      <w:tr w:rsidTr="001B5749">
        <w:tblPrEx>
          <w:tblW w:w="9889" w:type="dxa"/>
          <w:tblLayout w:type="fixed"/>
          <w:tblLook w:val="0000"/>
        </w:tblPrEx>
        <w:trPr>
          <w:cantSplit/>
        </w:trPr>
        <w:tc>
          <w:tcPr>
            <w:tcW w:w="6912" w:type="dxa"/>
            <w:gridSpan w:val="2"/>
            <w:shd w:val="clear" w:color="auto" w:fill="BFBFBF"/>
            <w:vAlign w:val="center"/>
          </w:tcPr>
          <w:p w:rsidR="00D4431F" w:rsidRPr="00D4431F" w:rsidP="00D4431F">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rsidR="00D4431F" w:rsidRPr="00D4431F" w:rsidP="001B5749">
            <w:pPr>
              <w:spacing w:line="240" w:lineRule="auto"/>
              <w:jc w:val="center"/>
              <w:rPr>
                <w:rFonts w:cstheme="minorHAnsi"/>
                <w:b/>
                <w:bCs/>
              </w:rPr>
            </w:pPr>
            <w:r>
              <w:rPr>
                <w:rFonts w:cstheme="minorHAnsi"/>
                <w:b/>
                <w:bCs/>
              </w:rPr>
              <w:t>Report of</w:t>
            </w:r>
          </w:p>
        </w:tc>
      </w:tr>
      <w:tr w:rsidTr="001B5749">
        <w:tblPrEx>
          <w:tblW w:w="9889" w:type="dxa"/>
          <w:tblLayout w:type="fixed"/>
          <w:tblLook w:val="0000"/>
        </w:tblPrEx>
        <w:trPr>
          <w:cantSplit/>
          <w:trHeight w:val="667"/>
        </w:trPr>
        <w:tc>
          <w:tcPr>
            <w:tcW w:w="6912" w:type="dxa"/>
            <w:gridSpan w:val="2"/>
            <w:vAlign w:val="center"/>
          </w:tcPr>
          <w:p w:rsidR="00D4431F" w:rsidRPr="00CA04F3"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Governance Committee Effectiveness Review</w:t>
            </w:r>
            <w:r>
              <w:rPr>
                <w:rFonts w:asciiTheme="majorHAnsi" w:hAnsiTheme="majorHAnsi" w:cstheme="majorHAnsi"/>
                <w:sz w:val="22"/>
              </w:rPr>
              <w:fldChar w:fldCharType="end"/>
            </w:r>
          </w:p>
        </w:tc>
        <w:tc>
          <w:tcPr>
            <w:tcW w:w="2977" w:type="dxa"/>
            <w:gridSpan w:val="2"/>
            <w:vAlign w:val="center"/>
          </w:tcPr>
          <w:p w:rsidR="00D4431F" w:rsidRPr="00D4431F"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rsidR="00D4431F" w:rsidRPr="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8E66F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D4431F" w:rsidRPr="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rsidR="00D4431F" w:rsidRPr="001F5AF0" w:rsidP="005C459D">
            <w:pPr>
              <w:spacing w:after="0" w:line="240" w:lineRule="auto"/>
              <w:jc w:val="both"/>
              <w:rPr>
                <w:rFonts w:cstheme="minorHAnsi"/>
                <w:bCs/>
              </w:rPr>
            </w:pPr>
            <w:r w:rsidRPr="00D4431F">
              <w:rPr>
                <w:rFonts w:cstheme="minorHAnsi"/>
                <w:bCs/>
              </w:rPr>
              <w:t xml:space="preserve">No </w:t>
            </w:r>
          </w:p>
        </w:tc>
      </w:tr>
    </w:tbl>
    <w:p w:rsidR="00D4431F" w:rsidRPr="00D4431F" w:rsidP="00D4431F">
      <w:pPr>
        <w:spacing w:line="240" w:lineRule="auto"/>
        <w:jc w:val="both"/>
        <w:rPr>
          <w:rFonts w:cstheme="minorHAnsi"/>
          <w:b/>
          <w:bCs/>
        </w:rPr>
      </w:pPr>
    </w:p>
    <w:p w:rsidR="00D4431F" w:rsidRPr="00CA04F3"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rsidR="00A05F38" w:rsidP="00A05F38">
      <w:pPr>
        <w:pStyle w:val="ListParagraph"/>
        <w:numPr>
          <w:ilvl w:val="0"/>
          <w:numId w:val="8"/>
        </w:numPr>
        <w:autoSpaceDE w:val="0"/>
        <w:autoSpaceDN w:val="0"/>
        <w:adjustRightInd w:val="0"/>
        <w:spacing w:after="0" w:line="240" w:lineRule="auto"/>
        <w:jc w:val="both"/>
        <w:rPr>
          <w:rFonts w:cs="Arial"/>
          <w:color w:val="000000"/>
        </w:rPr>
      </w:pPr>
      <w:r w:rsidRPr="00D534A2">
        <w:rPr>
          <w:rFonts w:cs="Arial"/>
          <w:color w:val="000000"/>
        </w:rPr>
        <w:t>To evaluate the Council’s compliance with the Chartered Institute of Public Finance &amp; Accountancy (CIPFA)</w:t>
      </w:r>
      <w:r>
        <w:rPr>
          <w:rFonts w:cs="Arial"/>
          <w:color w:val="000000"/>
        </w:rPr>
        <w:t xml:space="preserve"> guidance, </w:t>
      </w:r>
      <w:r w:rsidRPr="00D534A2">
        <w:rPr>
          <w:rFonts w:cs="Arial"/>
          <w:color w:val="000000"/>
        </w:rPr>
        <w:t>“</w:t>
      </w:r>
      <w:r>
        <w:rPr>
          <w:rFonts w:cs="Arial"/>
          <w:color w:val="000000"/>
        </w:rPr>
        <w:t>Audit Committees – Practical Guidance for Local Authorities and Police 2018”.</w:t>
      </w:r>
    </w:p>
    <w:p w:rsidR="00A05F38" w:rsidRPr="00D534A2" w:rsidP="00A05F38">
      <w:pPr>
        <w:pStyle w:val="ListParagraph"/>
        <w:autoSpaceDE w:val="0"/>
        <w:autoSpaceDN w:val="0"/>
        <w:adjustRightInd w:val="0"/>
        <w:ind w:left="318"/>
        <w:rPr>
          <w:rFonts w:cs="Arial"/>
          <w:color w:val="000000"/>
        </w:rPr>
      </w:pPr>
    </w:p>
    <w:p w:rsidR="00A05F38" w:rsidP="00A05F38">
      <w:pPr>
        <w:pStyle w:val="ListParagraph"/>
        <w:numPr>
          <w:ilvl w:val="0"/>
          <w:numId w:val="8"/>
        </w:numPr>
        <w:autoSpaceDE w:val="0"/>
        <w:autoSpaceDN w:val="0"/>
        <w:adjustRightInd w:val="0"/>
        <w:spacing w:after="0" w:line="240" w:lineRule="auto"/>
        <w:jc w:val="both"/>
        <w:rPr>
          <w:rFonts w:cs="Arial"/>
          <w:color w:val="000000"/>
        </w:rPr>
      </w:pPr>
      <w:r w:rsidRPr="00796814">
        <w:rPr>
          <w:rFonts w:cs="Arial"/>
          <w:color w:val="000000"/>
        </w:rPr>
        <w:t xml:space="preserve">To </w:t>
      </w:r>
      <w:r>
        <w:rPr>
          <w:rFonts w:cs="Arial"/>
          <w:color w:val="000000"/>
        </w:rPr>
        <w:t xml:space="preserve">present a revised </w:t>
      </w:r>
      <w:r w:rsidRPr="00796814">
        <w:rPr>
          <w:rFonts w:cs="Arial"/>
          <w:color w:val="000000"/>
        </w:rPr>
        <w:t>Terms of Reference</w:t>
      </w:r>
      <w:r>
        <w:rPr>
          <w:rFonts w:cs="Arial"/>
          <w:color w:val="000000"/>
        </w:rPr>
        <w:t xml:space="preserve"> for members’ consideration.</w:t>
      </w:r>
    </w:p>
    <w:p w:rsidR="00A05F38" w:rsidRPr="00C430FD" w:rsidP="00A05F38">
      <w:pPr>
        <w:pStyle w:val="ListParagraph"/>
        <w:rPr>
          <w:rFonts w:cs="Arial"/>
          <w:color w:val="000000"/>
        </w:rPr>
      </w:pPr>
    </w:p>
    <w:p w:rsidR="00A05F38" w:rsidRPr="00796814" w:rsidP="00A05F38">
      <w:pPr>
        <w:pStyle w:val="ListParagraph"/>
        <w:numPr>
          <w:ilvl w:val="0"/>
          <w:numId w:val="8"/>
        </w:numPr>
        <w:autoSpaceDE w:val="0"/>
        <w:autoSpaceDN w:val="0"/>
        <w:adjustRightInd w:val="0"/>
        <w:spacing w:after="0" w:line="240" w:lineRule="auto"/>
        <w:jc w:val="both"/>
        <w:rPr>
          <w:rFonts w:cs="Arial"/>
          <w:color w:val="000000"/>
        </w:rPr>
      </w:pPr>
      <w:r>
        <w:rPr>
          <w:rFonts w:cs="Arial"/>
          <w:color w:val="000000"/>
        </w:rPr>
        <w:t>To present details of the review of the self-assessment of good practice contained within the guidance.</w:t>
      </w:r>
    </w:p>
    <w:p w:rsidR="00A05F38" w:rsidRPr="00796814" w:rsidP="00A05F38">
      <w:pPr>
        <w:pStyle w:val="ListParagraph"/>
        <w:rPr>
          <w:rFonts w:cs="Arial"/>
          <w:color w:val="000000"/>
        </w:rPr>
      </w:pPr>
    </w:p>
    <w:p w:rsidR="006149F1" w:rsidRPr="001F5AF0" w:rsidP="00A05F38">
      <w:pPr>
        <w:pStyle w:val="ListParagraph"/>
        <w:numPr>
          <w:ilvl w:val="0"/>
          <w:numId w:val="8"/>
        </w:numPr>
        <w:autoSpaceDE w:val="0"/>
        <w:autoSpaceDN w:val="0"/>
        <w:adjustRightInd w:val="0"/>
        <w:rPr>
          <w:rFonts w:cstheme="minorHAnsi"/>
          <w:bCs/>
          <w:i/>
        </w:rPr>
      </w:pPr>
      <w:r w:rsidRPr="00796814">
        <w:rPr>
          <w:rFonts w:cs="Arial"/>
          <w:color w:val="000000"/>
        </w:rPr>
        <w:t xml:space="preserve">To put forward proposals to address recommendations </w:t>
      </w:r>
      <w:r>
        <w:rPr>
          <w:rFonts w:cs="Arial"/>
          <w:color w:val="000000"/>
        </w:rPr>
        <w:t xml:space="preserve">in </w:t>
      </w:r>
      <w:r w:rsidRPr="00796814">
        <w:rPr>
          <w:rFonts w:cs="Arial"/>
          <w:color w:val="000000"/>
        </w:rPr>
        <w:t xml:space="preserve">relation to </w:t>
      </w:r>
      <w:r>
        <w:rPr>
          <w:rFonts w:cs="Arial"/>
          <w:color w:val="000000"/>
        </w:rPr>
        <w:t>developing members’ skills and knowledge.</w:t>
      </w:r>
      <w:r w:rsidRPr="001F5AF0">
        <w:rPr>
          <w:rFonts w:cstheme="minorHAnsi"/>
          <w:bCs/>
          <w:i/>
        </w:rPr>
        <w:t xml:space="preserve"> </w:t>
      </w:r>
    </w:p>
    <w:p w:rsidR="006149F1" w:rsidRPr="00CA04F3"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rsidR="00A05F38" w:rsidRPr="00B24A28" w:rsidP="00A05F38">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B24A28">
        <w:t xml:space="preserve">That the Committee: </w:t>
      </w:r>
    </w:p>
    <w:p w:rsidR="00A05F38" w:rsidRPr="00B24A28" w:rsidP="00A05F38">
      <w:pPr>
        <w:pStyle w:val="ListParagraph"/>
        <w:numPr>
          <w:ilvl w:val="0"/>
          <w:numId w:val="16"/>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B24A28">
        <w:t>Notes the report;</w:t>
      </w:r>
    </w:p>
    <w:p w:rsidR="00A05F38" w:rsidP="00A05F38">
      <w:pPr>
        <w:pStyle w:val="ListParagraph"/>
        <w:numPr>
          <w:ilvl w:val="0"/>
          <w:numId w:val="16"/>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B24A28">
        <w:t xml:space="preserve">Considers </w:t>
      </w:r>
      <w:r w:rsidR="00AB05BD">
        <w:t xml:space="preserve">the updated </w:t>
      </w:r>
      <w:r w:rsidRPr="00B24A28">
        <w:t>Terms of Reference</w:t>
      </w:r>
      <w:r w:rsidR="00AB05BD">
        <w:t xml:space="preserve"> prior to submission at full council for approval</w:t>
      </w:r>
      <w:r w:rsidRPr="00B24A28">
        <w:t>;</w:t>
      </w:r>
    </w:p>
    <w:p w:rsidR="00A05F38" w:rsidRPr="00B24A28" w:rsidP="00A05F38">
      <w:pPr>
        <w:pStyle w:val="ListParagraph"/>
        <w:numPr>
          <w:ilvl w:val="0"/>
          <w:numId w:val="16"/>
        </w:numPr>
        <w:pBdr>
          <w:top w:val="single" w:sz="2" w:space="1" w:color="FFFFFF"/>
          <w:left w:val="single" w:sz="2" w:space="0" w:color="FFFFFF"/>
          <w:bottom w:val="single" w:sz="2" w:space="2" w:color="FFFFFF"/>
          <w:right w:val="single" w:sz="2" w:space="4" w:color="FFFFFF"/>
        </w:pBdr>
        <w:spacing w:after="0" w:line="240" w:lineRule="auto"/>
        <w:ind w:right="141"/>
        <w:jc w:val="both"/>
      </w:pPr>
      <w:r>
        <w:t>Considers and comments on the self-assessment of good practice</w:t>
      </w:r>
      <w:r w:rsidR="009A1B55">
        <w:t xml:space="preserve"> and the subsequent actions</w:t>
      </w:r>
      <w:r>
        <w:t>;</w:t>
      </w:r>
    </w:p>
    <w:p w:rsidR="00A05F38" w:rsidRPr="00B24A28" w:rsidP="00A05F38">
      <w:pPr>
        <w:pStyle w:val="ListParagraph"/>
        <w:numPr>
          <w:ilvl w:val="0"/>
          <w:numId w:val="16"/>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B24A28">
        <w:t>Accepts the proposals in relation to developing members’ skills and knowledge.</w:t>
      </w:r>
    </w:p>
    <w:p w:rsidR="001F5AF0" w:rsidRPr="008D74A2" w:rsidP="00A05F38">
      <w:pPr>
        <w:spacing w:after="120" w:line="240" w:lineRule="auto"/>
        <w:ind w:left="720"/>
        <w:rPr>
          <w:b/>
        </w:rPr>
      </w:pPr>
      <w:r w:rsidRPr="008D74A2">
        <w:br/>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rsidR="00D4431F" w:rsidRPr="006149F1"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rsidR="006149F1" w:rsidRPr="00D4431F"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8E66FA">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An exemplary council</w:t>
            </w:r>
          </w:p>
          <w:p w:rsidR="00D4431F" w:rsidRPr="00D4431F" w:rsidP="006149F1">
            <w:pPr>
              <w:spacing w:after="0" w:line="240" w:lineRule="auto"/>
              <w:jc w:val="both"/>
              <w:rPr>
                <w:rFonts w:cstheme="minorHAnsi"/>
                <w:bCs/>
              </w:rPr>
            </w:pPr>
          </w:p>
        </w:tc>
        <w:tc>
          <w:tcPr>
            <w:tcW w:w="850" w:type="dxa"/>
            <w:shd w:val="clear" w:color="auto" w:fill="auto"/>
          </w:tcPr>
          <w:p w:rsidR="00D4431F" w:rsidRPr="00D4431F" w:rsidP="006149F1">
            <w:pPr>
              <w:spacing w:after="0" w:line="240" w:lineRule="auto"/>
              <w:jc w:val="both"/>
              <w:rPr>
                <w:rFonts w:cstheme="minorHAnsi"/>
                <w:bCs/>
              </w:rPr>
            </w:pPr>
            <w:r>
              <w:rPr>
                <w:rFonts w:cstheme="minorHAnsi"/>
                <w:bCs/>
              </w:rPr>
              <w:t>X</w:t>
            </w:r>
          </w:p>
        </w:tc>
        <w:tc>
          <w:tcPr>
            <w:tcW w:w="3402" w:type="dxa"/>
          </w:tcPr>
          <w:p w:rsidR="00D4431F" w:rsidRPr="00D4431F" w:rsidP="006149F1">
            <w:pPr>
              <w:spacing w:after="0" w:line="240" w:lineRule="auto"/>
              <w:jc w:val="both"/>
              <w:rPr>
                <w:rFonts w:cstheme="minorHAnsi"/>
                <w:bCs/>
              </w:rPr>
            </w:pPr>
            <w:r w:rsidRPr="00D4431F">
              <w:rPr>
                <w:rFonts w:cstheme="minorHAnsi"/>
                <w:bCs/>
              </w:rPr>
              <w:t>Thriving communities</w:t>
            </w:r>
          </w:p>
        </w:tc>
        <w:tc>
          <w:tcPr>
            <w:tcW w:w="851" w:type="dxa"/>
          </w:tcPr>
          <w:p w:rsidR="00D4431F" w:rsidRPr="00D4431F" w:rsidP="006149F1">
            <w:pPr>
              <w:spacing w:after="0" w:line="240" w:lineRule="auto"/>
              <w:jc w:val="both"/>
              <w:rPr>
                <w:rFonts w:cstheme="minorHAnsi"/>
                <w:bCs/>
              </w:rPr>
            </w:pPr>
          </w:p>
        </w:tc>
      </w:tr>
      <w:tr w:rsidTr="008E66FA">
        <w:tblPrEx>
          <w:tblW w:w="9526" w:type="dxa"/>
          <w:tblInd w:w="534" w:type="dxa"/>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rsidR="00D4431F" w:rsidRPr="00D4431F" w:rsidP="006149F1">
            <w:pPr>
              <w:spacing w:after="0" w:line="240" w:lineRule="auto"/>
              <w:jc w:val="both"/>
              <w:rPr>
                <w:rFonts w:cstheme="minorHAnsi"/>
                <w:bCs/>
              </w:rPr>
            </w:pPr>
          </w:p>
        </w:tc>
        <w:tc>
          <w:tcPr>
            <w:tcW w:w="3402" w:type="dxa"/>
          </w:tcPr>
          <w:p w:rsidR="00D4431F" w:rsidRPr="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rsidR="00D4431F" w:rsidRPr="00D4431F" w:rsidP="006149F1">
            <w:pPr>
              <w:spacing w:after="0" w:line="240" w:lineRule="auto"/>
              <w:jc w:val="both"/>
              <w:rPr>
                <w:rFonts w:cstheme="minorHAnsi"/>
                <w:bCs/>
              </w:rPr>
            </w:pPr>
          </w:p>
        </w:tc>
      </w:tr>
    </w:tbl>
    <w:p w:rsidR="00D4431F" w:rsidP="00D4431F">
      <w:pPr>
        <w:spacing w:line="240" w:lineRule="auto"/>
        <w:jc w:val="both"/>
        <w:rPr>
          <w:rFonts w:cstheme="minorHAnsi"/>
          <w:bCs/>
        </w:rPr>
      </w:pPr>
    </w:p>
    <w:p w:rsidR="00A05F38" w:rsidRPr="00D4431F" w:rsidP="00D4431F">
      <w:pPr>
        <w:spacing w:line="240" w:lineRule="auto"/>
        <w:jc w:val="both"/>
        <w:rPr>
          <w:rFonts w:cstheme="minorHAnsi"/>
          <w:bCs/>
        </w:rPr>
      </w:pP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rsidR="001F5AF0" w:rsidRPr="001F5AF0" w:rsidP="00A05F38">
      <w:pPr>
        <w:pStyle w:val="ListParagraph"/>
        <w:numPr>
          <w:ilvl w:val="0"/>
          <w:numId w:val="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rPr>
          <w:rFonts w:cstheme="minorHAnsi"/>
        </w:rPr>
      </w:pPr>
      <w:r w:rsidRPr="001F5AF0">
        <w:rPr>
          <w:rFonts w:cstheme="minorHAnsi"/>
          <w:bCs/>
          <w:i/>
        </w:rPr>
        <w:t xml:space="preserve"> </w:t>
      </w:r>
      <w:r w:rsidRPr="001F5AF0">
        <w:rPr>
          <w:rFonts w:cstheme="minorHAnsi"/>
          <w:color w:val="000000"/>
        </w:rPr>
        <w:t xml:space="preserve">The purpose of </w:t>
      </w:r>
      <w:r>
        <w:rPr>
          <w:rFonts w:cstheme="minorHAnsi"/>
          <w:color w:val="000000"/>
        </w:rPr>
        <w:t xml:space="preserve">the Governance </w:t>
      </w:r>
      <w:r w:rsidRPr="001F5AF0">
        <w:rPr>
          <w:rFonts w:cstheme="minorHAnsi"/>
          <w:color w:val="000000"/>
        </w:rPr>
        <w:t xml:space="preserve">Committee is to provide those charged with governance, independent assurance on the adequacy of the risk management framework, the internal control environment and the integrity of the financial reporting and annual governance processes.  </w:t>
      </w:r>
    </w:p>
    <w:p w:rsidR="001F5AF0" w:rsidRPr="001F5AF0" w:rsidP="00A05F38">
      <w:pPr>
        <w:pStyle w:val="ListParagraph"/>
        <w:pBdr>
          <w:top w:val="single" w:sz="2" w:space="0" w:color="FFFFFF"/>
          <w:left w:val="single" w:sz="2" w:space="0" w:color="FFFFFF"/>
          <w:bottom w:val="single" w:sz="2" w:space="2" w:color="FFFFFF"/>
          <w:right w:val="single" w:sz="2" w:space="4" w:color="FFFFFF"/>
        </w:pBdr>
        <w:autoSpaceDE w:val="0"/>
        <w:autoSpaceDN w:val="0"/>
        <w:adjustRightInd w:val="0"/>
        <w:ind w:left="284" w:right="141"/>
        <w:rPr>
          <w:rFonts w:cstheme="minorHAnsi"/>
        </w:rPr>
      </w:pPr>
    </w:p>
    <w:p w:rsidR="001F5AF0" w:rsidRPr="001F5AF0" w:rsidP="00A05F38">
      <w:pPr>
        <w:pStyle w:val="ListParagraph"/>
        <w:numPr>
          <w:ilvl w:val="0"/>
          <w:numId w:val="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rPr>
          <w:rFonts w:cstheme="minorHAnsi"/>
        </w:rPr>
      </w:pPr>
      <w:r w:rsidRPr="001F5AF0">
        <w:rPr>
          <w:rFonts w:cstheme="minorHAnsi"/>
          <w:color w:val="000000"/>
        </w:rPr>
        <w:t xml:space="preserve">CIPFA have issued “Audit Committees – Practical Guidance for Local Authorities and Police 2018”.  This sets out the functions, operations, roles and responsibilities of audit / governance committees in local authorities and represents best practice.  </w:t>
      </w:r>
    </w:p>
    <w:p w:rsidR="001F5AF0" w:rsidRPr="001F5AF0" w:rsidP="001F5AF0">
      <w:pPr>
        <w:pStyle w:val="ListParagraph"/>
        <w:rPr>
          <w:rFonts w:cstheme="minorHAnsi"/>
        </w:rPr>
      </w:pPr>
    </w:p>
    <w:p w:rsidR="00A05F38" w:rsidP="00A05F38">
      <w:pPr>
        <w:pStyle w:val="ListParagraph"/>
        <w:numPr>
          <w:ilvl w:val="0"/>
          <w:numId w:val="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rPr>
          <w:rFonts w:cstheme="minorHAnsi"/>
        </w:rPr>
      </w:pPr>
      <w:r w:rsidRPr="001F5AF0">
        <w:rPr>
          <w:rFonts w:cstheme="minorHAnsi"/>
        </w:rPr>
        <w:t>A key aspect of the guidance is evaluating and developing the Committee’s effectiveness.  The guidance states that “the committee’s effectiveness should be judged by the contribution it makes to and the beneficial impact it has on the authority’s business.  Evidence of effectiveness will usually be characterised as influence, persuasion and support.  A good standard of performance against recommended practice, together with a knowledgeable and experienced membership are essential requirements for delivering effectiveness.”</w:t>
      </w:r>
    </w:p>
    <w:p w:rsidR="00D47BF5" w:rsidRPr="00D47BF5" w:rsidP="00D47BF5">
      <w:pPr>
        <w:pStyle w:val="ListParagraph"/>
        <w:rPr>
          <w:rFonts w:cstheme="minorHAnsi"/>
        </w:rPr>
      </w:pPr>
    </w:p>
    <w:p w:rsidR="00D47BF5" w:rsidRPr="007F5036" w:rsidP="00D47BF5">
      <w:pPr>
        <w:pBdr>
          <w:top w:val="single" w:sz="2" w:space="0" w:color="FFFFFF"/>
          <w:left w:val="single" w:sz="2" w:space="0" w:color="FFFFFF"/>
          <w:bottom w:val="single" w:sz="2" w:space="2" w:color="FFFFFF"/>
          <w:right w:val="single" w:sz="2" w:space="4" w:color="FFFFFF"/>
        </w:pBdr>
        <w:autoSpaceDE w:val="0"/>
        <w:autoSpaceDN w:val="0"/>
        <w:adjustRightInd w:val="0"/>
        <w:ind w:right="141"/>
        <w:rPr>
          <w:b/>
        </w:rPr>
      </w:pPr>
      <w:r w:rsidRPr="007F5036">
        <w:rPr>
          <w:b/>
        </w:rPr>
        <w:t>SELF ASSESSMENT OF GOOD PRACTICE</w:t>
      </w:r>
    </w:p>
    <w:p w:rsidR="00D47BF5" w:rsidP="00514622">
      <w:pPr>
        <w:pStyle w:val="ListParagraph"/>
        <w:numPr>
          <w:ilvl w:val="0"/>
          <w:numId w:val="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rPr>
          <w:b/>
        </w:rPr>
      </w:pPr>
      <w:r>
        <w:rPr>
          <w:rFonts w:ascii="Helvetica" w:hAnsi="Helvetica" w:cs="Helvetica"/>
          <w:color w:val="000000"/>
        </w:rPr>
        <w:t xml:space="preserve">The guidance incorporates a Self-Assessment </w:t>
      </w:r>
      <w:r>
        <w:t>of good practice which has been completed and</w:t>
      </w:r>
      <w:r w:rsidR="00514622">
        <w:t xml:space="preserve"> d</w:t>
      </w:r>
      <w:r>
        <w:t xml:space="preserve">etails of the assessment are included at </w:t>
      </w:r>
      <w:r w:rsidRPr="00C430FD">
        <w:rPr>
          <w:b/>
        </w:rPr>
        <w:t>Appendix A.</w:t>
      </w:r>
    </w:p>
    <w:p w:rsidR="00514622" w:rsidRPr="00514622" w:rsidP="00514622">
      <w:p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rPr>
          <w:b/>
        </w:rPr>
      </w:pPr>
    </w:p>
    <w:p w:rsidR="009A1B55" w:rsidP="00514622">
      <w:pPr>
        <w:pStyle w:val="ListParagraph"/>
        <w:numPr>
          <w:ilvl w:val="0"/>
          <w:numId w:val="8"/>
        </w:numPr>
        <w:pBdr>
          <w:top w:val="single" w:sz="2" w:space="0" w:color="FFFFFF"/>
          <w:left w:val="single" w:sz="2" w:space="0" w:color="FFFFFF"/>
          <w:bottom w:val="single" w:sz="2" w:space="2" w:color="FFFFFF"/>
          <w:right w:val="single" w:sz="2" w:space="4" w:color="FFFFFF"/>
        </w:pBdr>
        <w:autoSpaceDE w:val="0"/>
        <w:autoSpaceDN w:val="0"/>
        <w:adjustRightInd w:val="0"/>
        <w:ind w:right="141"/>
      </w:pPr>
      <w:r>
        <w:t xml:space="preserve">The self-assessment contains </w:t>
      </w:r>
      <w:r w:rsidR="00514622">
        <w:t>the following areas for improvement:</w:t>
      </w:r>
    </w:p>
    <w:p w:rsidR="00D47BF5" w:rsidRPr="006D4152" w:rsidP="00D47BF5">
      <w:pPr>
        <w:pBdr>
          <w:top w:val="single" w:sz="2" w:space="0" w:color="FFFFFF"/>
          <w:left w:val="single" w:sz="2" w:space="0" w:color="FFFFFF"/>
          <w:bottom w:val="single" w:sz="2" w:space="2" w:color="FFFFFF"/>
          <w:right w:val="single" w:sz="2" w:space="4" w:color="FFFFFF"/>
        </w:pBdr>
        <w:autoSpaceDE w:val="0"/>
        <w:autoSpaceDN w:val="0"/>
        <w:adjustRightInd w:val="0"/>
        <w:ind w:right="141"/>
        <w:rPr>
          <w:bCs/>
        </w:rPr>
      </w:pPr>
      <w:r>
        <w:rPr>
          <w:bCs/>
        </w:rPr>
        <w:tab/>
      </w:r>
      <w:r w:rsidRPr="006D4152">
        <w:rPr>
          <w:bCs/>
        </w:rPr>
        <w:t>TERMS OF REFERENCE</w:t>
      </w:r>
    </w:p>
    <w:p w:rsidR="00D47BF5" w:rsidP="00514622">
      <w:pPr>
        <w:pStyle w:val="ListParagraph"/>
        <w:numPr>
          <w:ilvl w:val="0"/>
          <w:numId w:val="8"/>
        </w:numPr>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jc w:val="both"/>
      </w:pPr>
      <w:r w:rsidRPr="005F7E9A">
        <w:t xml:space="preserve">The CIPFA guidance incorporates a </w:t>
      </w:r>
      <w:r w:rsidR="006D4152">
        <w:t xml:space="preserve">model </w:t>
      </w:r>
      <w:r w:rsidRPr="005F7E9A">
        <w:t>terms of reference</w:t>
      </w:r>
      <w:r w:rsidR="006D4152">
        <w:t xml:space="preserve">. A comparison with the current ToR was undertaken and </w:t>
      </w:r>
      <w:r w:rsidRPr="005F7E9A">
        <w:t>identified that there are only minor amendments</w:t>
      </w:r>
      <w:r w:rsidR="006D4152">
        <w:t xml:space="preserve"> required</w:t>
      </w:r>
      <w:r w:rsidRPr="005F7E9A">
        <w:t xml:space="preserve"> and that the Governance Committee is already operating in line with the model terms of reference.  </w:t>
      </w:r>
      <w:r>
        <w:t>The amendments are highlighted in red</w:t>
      </w:r>
      <w:r w:rsidR="006D4152">
        <w:t xml:space="preserve"> at </w:t>
      </w:r>
      <w:r w:rsidRPr="006D4152" w:rsidR="006D4152">
        <w:rPr>
          <w:b/>
          <w:bCs/>
        </w:rPr>
        <w:t>Appendix B</w:t>
      </w:r>
    </w:p>
    <w:p w:rsidR="006D4152" w:rsidP="006D4152">
      <w:pPr>
        <w:pStyle w:val="ListParagraph"/>
        <w:pBdr>
          <w:top w:val="single" w:sz="2" w:space="0" w:color="FFFFFF"/>
          <w:left w:val="single" w:sz="2" w:space="0" w:color="FFFFFF"/>
          <w:bottom w:val="single" w:sz="2" w:space="2" w:color="FFFFFF"/>
          <w:right w:val="single" w:sz="2" w:space="4" w:color="FFFFFF"/>
        </w:pBdr>
        <w:autoSpaceDE w:val="0"/>
        <w:autoSpaceDN w:val="0"/>
        <w:adjustRightInd w:val="0"/>
        <w:spacing w:after="0" w:line="240" w:lineRule="auto"/>
        <w:ind w:right="141"/>
        <w:jc w:val="both"/>
      </w:pPr>
    </w:p>
    <w:p w:rsidR="00D47BF5" w:rsidRPr="006D4152" w:rsidP="00D47BF5">
      <w:pPr>
        <w:pBdr>
          <w:top w:val="single" w:sz="2" w:space="0" w:color="FFFFFF"/>
          <w:left w:val="single" w:sz="2" w:space="0" w:color="FFFFFF"/>
          <w:bottom w:val="single" w:sz="2" w:space="2" w:color="FFFFFF"/>
          <w:right w:val="single" w:sz="2" w:space="4" w:color="FFFFFF"/>
        </w:pBdr>
        <w:autoSpaceDE w:val="0"/>
        <w:autoSpaceDN w:val="0"/>
        <w:adjustRightInd w:val="0"/>
        <w:ind w:right="141"/>
        <w:rPr>
          <w:bCs/>
        </w:rPr>
      </w:pPr>
      <w:r>
        <w:rPr>
          <w:bCs/>
        </w:rPr>
        <w:tab/>
      </w:r>
      <w:r w:rsidRPr="006D4152">
        <w:rPr>
          <w:bCs/>
        </w:rPr>
        <w:t xml:space="preserve">SKILLS &amp; KNOWLEDGE </w:t>
      </w:r>
    </w:p>
    <w:p w:rsidR="001F5AF0" w:rsidRPr="00A05F38" w:rsidP="00A05F38">
      <w:pPr>
        <w:pStyle w:val="ListParagraph"/>
        <w:numPr>
          <w:ilvl w:val="0"/>
          <w:numId w:val="8"/>
        </w:numPr>
        <w:autoSpaceDE w:val="0"/>
        <w:autoSpaceDN w:val="0"/>
        <w:adjustRightInd w:val="0"/>
        <w:spacing w:after="0" w:line="240" w:lineRule="auto"/>
        <w:rPr>
          <w:rFonts w:cstheme="minorHAnsi"/>
          <w:color w:val="000000"/>
        </w:rPr>
      </w:pPr>
      <w:r w:rsidRPr="00A05F38">
        <w:rPr>
          <w:rFonts w:cstheme="minorHAnsi"/>
          <w:color w:val="000000"/>
        </w:rPr>
        <w:t xml:space="preserve">CIPFA’S guidance acknowledges that there is a range of knowledge and experience that Members can bring to the Committee to enable it to perform effectively. It emphasises that there are core areas of knowledge that are beneficial for all Committee Members to have. </w:t>
      </w:r>
    </w:p>
    <w:p w:rsidR="00A05F38" w:rsidRPr="00A05F38" w:rsidP="00A05F38">
      <w:pPr>
        <w:autoSpaceDE w:val="0"/>
        <w:autoSpaceDN w:val="0"/>
        <w:adjustRightInd w:val="0"/>
        <w:spacing w:after="0" w:line="240" w:lineRule="auto"/>
        <w:rPr>
          <w:rFonts w:cstheme="minorHAnsi"/>
          <w:color w:val="000000"/>
        </w:rPr>
      </w:pPr>
    </w:p>
    <w:p w:rsidR="001F5AF0" w:rsidRPr="00FF4514" w:rsidP="00A05F38">
      <w:pPr>
        <w:pStyle w:val="ListParagraph"/>
        <w:numPr>
          <w:ilvl w:val="0"/>
          <w:numId w:val="8"/>
        </w:numPr>
        <w:autoSpaceDE w:val="0"/>
        <w:autoSpaceDN w:val="0"/>
        <w:adjustRightInd w:val="0"/>
        <w:spacing w:after="0" w:line="240" w:lineRule="auto"/>
        <w:rPr>
          <w:rFonts w:cstheme="minorHAnsi"/>
          <w:color w:val="000000"/>
        </w:rPr>
      </w:pPr>
      <w:r w:rsidRPr="00A05F38">
        <w:rPr>
          <w:rFonts w:cstheme="minorHAnsi"/>
          <w:color w:val="000000"/>
        </w:rPr>
        <w:t>C</w:t>
      </w:r>
      <w:r w:rsidRPr="00A05F38">
        <w:rPr>
          <w:rFonts w:cstheme="minorHAnsi"/>
          <w:color w:val="000000"/>
        </w:rPr>
        <w:t xml:space="preserve">ontained within the guidance, is a Knowledge and Skills framework, which allows Members to carry out a self-assessment and this is shown at </w:t>
      </w:r>
      <w:r w:rsidRPr="006D4152">
        <w:rPr>
          <w:rFonts w:cstheme="minorHAnsi"/>
          <w:b/>
          <w:bCs/>
        </w:rPr>
        <w:t xml:space="preserve">Appendix C. </w:t>
      </w:r>
      <w:r w:rsidRPr="006D4152">
        <w:rPr>
          <w:rFonts w:cstheme="minorHAnsi"/>
          <w:b/>
          <w:bCs/>
        </w:rPr>
        <w:t xml:space="preserve"> </w:t>
      </w:r>
      <w:r w:rsidRPr="00FF4514" w:rsidR="00FF4514">
        <w:rPr>
          <w:rFonts w:cstheme="minorHAnsi"/>
        </w:rPr>
        <w:t xml:space="preserve">The purpose of the </w:t>
      </w:r>
      <w:r w:rsidRPr="00FF4514" w:rsidR="0075695C">
        <w:rPr>
          <w:rFonts w:cstheme="minorHAnsi"/>
        </w:rPr>
        <w:t>self-assessment</w:t>
      </w:r>
      <w:r w:rsidRPr="00FF4514" w:rsidR="00FF4514">
        <w:rPr>
          <w:rFonts w:cstheme="minorHAnsi"/>
        </w:rPr>
        <w:t xml:space="preserve"> is to ensure that members are fully equipped to meet the requirements of the best practice guidance and </w:t>
      </w:r>
      <w:r w:rsidR="00FF4514">
        <w:rPr>
          <w:rFonts w:cstheme="minorHAnsi"/>
        </w:rPr>
        <w:t>t</w:t>
      </w:r>
      <w:r w:rsidRPr="00FF4514" w:rsidR="00FF4514">
        <w:rPr>
          <w:rFonts w:cstheme="minorHAnsi"/>
        </w:rPr>
        <w:t>erms of reference of the Committee.</w:t>
      </w:r>
    </w:p>
    <w:p w:rsidR="00FF4514" w:rsidRPr="00FF4514" w:rsidP="00FF4514">
      <w:pPr>
        <w:pStyle w:val="ListParagraph"/>
        <w:rPr>
          <w:rFonts w:cstheme="minorHAnsi"/>
          <w:color w:val="000000"/>
        </w:rPr>
      </w:pPr>
    </w:p>
    <w:p w:rsidR="00FF4514" w:rsidRPr="00FF4514" w:rsidP="00FF4514">
      <w:pPr>
        <w:autoSpaceDE w:val="0"/>
        <w:autoSpaceDN w:val="0"/>
        <w:adjustRightInd w:val="0"/>
        <w:spacing w:after="0" w:line="240" w:lineRule="auto"/>
        <w:rPr>
          <w:rFonts w:cstheme="minorHAnsi"/>
          <w:color w:val="000000"/>
        </w:rPr>
      </w:pPr>
    </w:p>
    <w:p w:rsidR="00FF4514" w:rsidP="00FF4514">
      <w:pPr>
        <w:pStyle w:val="ListParagraph"/>
        <w:rPr>
          <w:rFonts w:cstheme="minorHAnsi"/>
          <w:color w:val="000000"/>
        </w:rPr>
      </w:pPr>
    </w:p>
    <w:p w:rsidR="00FF4514" w:rsidP="00FF4514">
      <w:pPr>
        <w:pStyle w:val="ListParagraph"/>
        <w:rPr>
          <w:rFonts w:cstheme="minorHAnsi"/>
          <w:color w:val="000000"/>
        </w:rPr>
      </w:pPr>
    </w:p>
    <w:p w:rsidR="004A7194" w:rsidRPr="00FF4514" w:rsidP="00FF4514">
      <w:pPr>
        <w:pStyle w:val="ListParagraph"/>
        <w:rPr>
          <w:rFonts w:cstheme="minorHAnsi"/>
          <w:color w:val="000000"/>
        </w:rPr>
      </w:pPr>
    </w:p>
    <w:p w:rsidR="001F5AF0" w:rsidP="00FF4514">
      <w:pPr>
        <w:pStyle w:val="ListParagraph"/>
        <w:numPr>
          <w:ilvl w:val="0"/>
          <w:numId w:val="8"/>
        </w:numPr>
        <w:autoSpaceDE w:val="0"/>
        <w:autoSpaceDN w:val="0"/>
        <w:adjustRightInd w:val="0"/>
        <w:spacing w:after="0" w:line="240" w:lineRule="auto"/>
        <w:rPr>
          <w:rFonts w:cstheme="minorHAnsi"/>
          <w:color w:val="000000"/>
        </w:rPr>
      </w:pPr>
      <w:r w:rsidRPr="00FF4514">
        <w:rPr>
          <w:rFonts w:cstheme="minorHAnsi"/>
          <w:color w:val="000000"/>
        </w:rPr>
        <w:t xml:space="preserve">It is the intention to issue this self-assessment to all Members of the committee </w:t>
      </w:r>
      <w:r w:rsidR="00FF4514">
        <w:rPr>
          <w:rFonts w:cstheme="minorHAnsi"/>
          <w:color w:val="000000"/>
        </w:rPr>
        <w:t>in the coming weeks</w:t>
      </w:r>
      <w:r w:rsidRPr="00FF4514" w:rsidR="00A05F38">
        <w:rPr>
          <w:rFonts w:cstheme="minorHAnsi"/>
          <w:color w:val="000000"/>
        </w:rPr>
        <w:t xml:space="preserve">. </w:t>
      </w:r>
      <w:r w:rsidR="00FF4514">
        <w:rPr>
          <w:rFonts w:cstheme="minorHAnsi"/>
          <w:color w:val="000000"/>
        </w:rPr>
        <w:t xml:space="preserve"> </w:t>
      </w:r>
      <w:r w:rsidRPr="00FF4514">
        <w:rPr>
          <w:rFonts w:cstheme="minorHAnsi"/>
          <w:color w:val="000000"/>
        </w:rPr>
        <w:t xml:space="preserve">The results will be collated by Internal Audit and shared with the Chair of the </w:t>
      </w:r>
      <w:r w:rsidRPr="00FF4514" w:rsidR="00A05F38">
        <w:rPr>
          <w:rFonts w:cstheme="minorHAnsi"/>
          <w:color w:val="000000"/>
        </w:rPr>
        <w:t xml:space="preserve">Governance </w:t>
      </w:r>
      <w:r w:rsidRPr="00FF4514">
        <w:rPr>
          <w:rFonts w:cstheme="minorHAnsi"/>
          <w:color w:val="000000"/>
        </w:rPr>
        <w:t xml:space="preserve">and will be used </w:t>
      </w:r>
      <w:r w:rsidRPr="00FF4514" w:rsidR="00A05F38">
        <w:rPr>
          <w:rFonts w:cstheme="minorHAnsi"/>
          <w:color w:val="000000"/>
        </w:rPr>
        <w:t xml:space="preserve">to identify any specific training needs for the Committee </w:t>
      </w:r>
      <w:r w:rsidRPr="00FF4514" w:rsidR="004A7194">
        <w:rPr>
          <w:rFonts w:cstheme="minorHAnsi"/>
          <w:color w:val="000000"/>
        </w:rPr>
        <w:t>and</w:t>
      </w:r>
      <w:r w:rsidRPr="00FF4514" w:rsidR="00A05F38">
        <w:rPr>
          <w:rFonts w:cstheme="minorHAnsi"/>
          <w:color w:val="000000"/>
        </w:rPr>
        <w:t xml:space="preserve"> </w:t>
      </w:r>
      <w:r w:rsidRPr="00FF4514">
        <w:rPr>
          <w:rFonts w:cstheme="minorHAnsi"/>
          <w:color w:val="000000"/>
        </w:rPr>
        <w:t>to inform the Member Development Programme in 20</w:t>
      </w:r>
      <w:r w:rsidRPr="00FF4514" w:rsidR="00A05F38">
        <w:rPr>
          <w:rFonts w:cstheme="minorHAnsi"/>
          <w:color w:val="000000"/>
        </w:rPr>
        <w:t>21-22</w:t>
      </w:r>
      <w:r w:rsidRPr="00FF4514">
        <w:rPr>
          <w:rFonts w:cstheme="minorHAnsi"/>
          <w:color w:val="000000"/>
        </w:rPr>
        <w:t xml:space="preserve"> and beyond. </w:t>
      </w:r>
    </w:p>
    <w:p w:rsidR="00FF4514" w:rsidP="00FF4514">
      <w:pPr>
        <w:autoSpaceDE w:val="0"/>
        <w:autoSpaceDN w:val="0"/>
        <w:adjustRightInd w:val="0"/>
        <w:spacing w:after="0" w:line="240" w:lineRule="auto"/>
        <w:rPr>
          <w:rFonts w:cstheme="minorHAnsi"/>
          <w:color w:val="000000"/>
        </w:rPr>
      </w:pPr>
    </w:p>
    <w:p w:rsidR="00FF4514" w:rsidRPr="00FF4514" w:rsidP="00FF4514">
      <w:pPr>
        <w:autoSpaceDE w:val="0"/>
        <w:autoSpaceDN w:val="0"/>
        <w:adjustRightInd w:val="0"/>
        <w:spacing w:after="0" w:line="240" w:lineRule="auto"/>
        <w:rPr>
          <w:rFonts w:cstheme="minorHAnsi"/>
          <w:color w:val="000000"/>
        </w:rPr>
      </w:pPr>
      <w:bookmarkStart w:id="0" w:name="_GoBack"/>
      <w:bookmarkEnd w:id="0"/>
    </w:p>
    <w:p w:rsidR="006D4152" w:rsidP="004A7194">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Other </w:t>
      </w:r>
      <w:r w:rsidR="006B528F">
        <w:rPr>
          <w:rFonts w:cstheme="minorHAnsi"/>
          <w:color w:val="000000"/>
        </w:rPr>
        <w:t>improvement</w:t>
      </w:r>
      <w:r w:rsidR="0075695C">
        <w:rPr>
          <w:rFonts w:cstheme="minorHAnsi"/>
          <w:color w:val="000000"/>
        </w:rPr>
        <w:t>s</w:t>
      </w:r>
      <w:r w:rsidR="006B528F">
        <w:rPr>
          <w:rFonts w:cstheme="minorHAnsi"/>
          <w:color w:val="000000"/>
        </w:rPr>
        <w:t xml:space="preserve"> identified for </w:t>
      </w:r>
      <w:r>
        <w:rPr>
          <w:rFonts w:cstheme="minorHAnsi"/>
          <w:color w:val="000000"/>
        </w:rPr>
        <w:t xml:space="preserve">consideration include: </w:t>
      </w:r>
    </w:p>
    <w:p w:rsidR="004A7194" w:rsidP="004A7194">
      <w:pPr>
        <w:autoSpaceDE w:val="0"/>
        <w:autoSpaceDN w:val="0"/>
        <w:adjustRightInd w:val="0"/>
        <w:spacing w:after="0" w:line="240" w:lineRule="auto"/>
        <w:rPr>
          <w:rFonts w:cstheme="minorHAnsi"/>
          <w:color w:val="000000"/>
        </w:rPr>
      </w:pPr>
    </w:p>
    <w:p w:rsidR="004A7194" w:rsidRPr="004A7194" w:rsidP="004A7194">
      <w:pPr>
        <w:autoSpaceDE w:val="0"/>
        <w:autoSpaceDN w:val="0"/>
        <w:adjustRightInd w:val="0"/>
        <w:spacing w:after="0" w:line="240" w:lineRule="auto"/>
        <w:rPr>
          <w:rFonts w:cstheme="minorHAnsi"/>
          <w:color w:val="000000"/>
        </w:rPr>
      </w:pPr>
    </w:p>
    <w:tbl>
      <w:tblPr>
        <w:tblStyle w:val="TableGrid"/>
        <w:tblW w:w="9067" w:type="dxa"/>
        <w:tblLook w:val="04A0"/>
      </w:tblPr>
      <w:tblGrid>
        <w:gridCol w:w="1581"/>
        <w:gridCol w:w="7486"/>
      </w:tblGrid>
      <w:tr w:rsidTr="00793AA6">
        <w:tblPrEx>
          <w:tblW w:w="9067" w:type="dxa"/>
          <w:tblLook w:val="04A0"/>
        </w:tblPrEx>
        <w:tc>
          <w:tcPr>
            <w:tcW w:w="1581" w:type="dxa"/>
          </w:tcPr>
          <w:p w:rsidR="006D4152" w:rsidP="00793AA6">
            <w:pPr>
              <w:autoSpaceDE w:val="0"/>
              <w:autoSpaceDN w:val="0"/>
              <w:adjustRightInd w:val="0"/>
              <w:ind w:right="141"/>
            </w:pPr>
            <w:r>
              <w:t>Self-Assessment</w:t>
            </w:r>
          </w:p>
          <w:p w:rsidR="006D4152" w:rsidP="00793AA6">
            <w:pPr>
              <w:autoSpaceDE w:val="0"/>
              <w:autoSpaceDN w:val="0"/>
              <w:adjustRightInd w:val="0"/>
              <w:ind w:right="141"/>
            </w:pPr>
          </w:p>
        </w:tc>
        <w:tc>
          <w:tcPr>
            <w:tcW w:w="7486" w:type="dxa"/>
          </w:tcPr>
          <w:p w:rsidR="006D4152" w:rsidP="00793AA6">
            <w:pPr>
              <w:autoSpaceDE w:val="0"/>
              <w:autoSpaceDN w:val="0"/>
              <w:adjustRightInd w:val="0"/>
              <w:ind w:right="141"/>
            </w:pPr>
            <w:r>
              <w:t>The self-assessment will be completed and be presented to the Governance Committee annually.</w:t>
            </w:r>
          </w:p>
        </w:tc>
      </w:tr>
      <w:tr w:rsidTr="00793AA6">
        <w:tblPrEx>
          <w:tblW w:w="9067" w:type="dxa"/>
          <w:tblLook w:val="04A0"/>
        </w:tblPrEx>
        <w:tc>
          <w:tcPr>
            <w:tcW w:w="1581" w:type="dxa"/>
          </w:tcPr>
          <w:p w:rsidR="006D4152" w:rsidP="00793AA6">
            <w:pPr>
              <w:autoSpaceDE w:val="0"/>
              <w:autoSpaceDN w:val="0"/>
              <w:adjustRightInd w:val="0"/>
              <w:ind w:right="141"/>
            </w:pPr>
            <w:r>
              <w:t>Independent Person</w:t>
            </w:r>
          </w:p>
        </w:tc>
        <w:tc>
          <w:tcPr>
            <w:tcW w:w="7486" w:type="dxa"/>
          </w:tcPr>
          <w:p w:rsidR="006B528F" w:rsidP="00793AA6">
            <w:pPr>
              <w:autoSpaceDE w:val="0"/>
              <w:autoSpaceDN w:val="0"/>
              <w:adjustRightInd w:val="0"/>
              <w:ind w:right="141"/>
            </w:pPr>
            <w:r>
              <w:t xml:space="preserve">The Committee should consider the appointment of an independent person to support </w:t>
            </w:r>
            <w:r>
              <w:t xml:space="preserve">its </w:t>
            </w:r>
            <w:r>
              <w:t>work</w:t>
            </w:r>
            <w:r>
              <w:t xml:space="preserve">. </w:t>
            </w:r>
            <w:r w:rsidR="002D2EC3">
              <w:t xml:space="preserve">  </w:t>
            </w:r>
          </w:p>
          <w:p w:rsidR="006D4152" w:rsidP="00793AA6">
            <w:pPr>
              <w:autoSpaceDE w:val="0"/>
              <w:autoSpaceDN w:val="0"/>
              <w:adjustRightInd w:val="0"/>
              <w:ind w:right="141"/>
            </w:pPr>
            <w:r>
              <w:t xml:space="preserve">The appointment of an independent person was also included in Sir Tony Redmond’s review of financial reporting and auditing in local government, however at this stage, the recommendations are still under review and the guidance from CIPFA regarding the appointment of an independent person may </w:t>
            </w:r>
            <w:r w:rsidR="006B528F">
              <w:t xml:space="preserve">change.  </w:t>
            </w:r>
          </w:p>
          <w:p w:rsidR="006D4152" w:rsidP="00793AA6">
            <w:pPr>
              <w:autoSpaceDE w:val="0"/>
              <w:autoSpaceDN w:val="0"/>
              <w:adjustRightInd w:val="0"/>
              <w:ind w:right="141"/>
            </w:pPr>
          </w:p>
        </w:tc>
      </w:tr>
      <w:tr w:rsidTr="00793AA6">
        <w:tblPrEx>
          <w:tblW w:w="9067" w:type="dxa"/>
          <w:tblLook w:val="04A0"/>
        </w:tblPrEx>
        <w:tc>
          <w:tcPr>
            <w:tcW w:w="1581" w:type="dxa"/>
          </w:tcPr>
          <w:p w:rsidR="006D4152" w:rsidP="00793AA6">
            <w:pPr>
              <w:autoSpaceDE w:val="0"/>
              <w:autoSpaceDN w:val="0"/>
              <w:adjustRightInd w:val="0"/>
              <w:ind w:right="141"/>
            </w:pPr>
            <w:r>
              <w:t>Feedback</w:t>
            </w:r>
          </w:p>
        </w:tc>
        <w:tc>
          <w:tcPr>
            <w:tcW w:w="7486" w:type="dxa"/>
          </w:tcPr>
          <w:p w:rsidR="006D4152" w:rsidP="00793AA6">
            <w:pPr>
              <w:autoSpaceDE w:val="0"/>
              <w:autoSpaceDN w:val="0"/>
              <w:adjustRightInd w:val="0"/>
              <w:ind w:right="141"/>
            </w:pPr>
            <w:r>
              <w:t xml:space="preserve">A short survey will be developed by the Service </w:t>
            </w:r>
            <w:r w:rsidR="004A7194">
              <w:t>Lead Audit</w:t>
            </w:r>
            <w:r>
              <w:t xml:space="preserve"> and Risk in conjunction with the Chair and issued to key stakeholders to obtain feedback on the work of the Governance Committee.</w:t>
            </w:r>
          </w:p>
          <w:p w:rsidR="006D4152" w:rsidP="00793AA6">
            <w:pPr>
              <w:autoSpaceDE w:val="0"/>
              <w:autoSpaceDN w:val="0"/>
              <w:adjustRightInd w:val="0"/>
              <w:ind w:right="141"/>
            </w:pPr>
          </w:p>
        </w:tc>
      </w:tr>
    </w:tbl>
    <w:p w:rsidR="006D4152" w:rsidP="001F5AF0">
      <w:pPr>
        <w:autoSpaceDE w:val="0"/>
        <w:autoSpaceDN w:val="0"/>
        <w:adjustRightInd w:val="0"/>
        <w:spacing w:after="0" w:line="240" w:lineRule="auto"/>
        <w:rPr>
          <w:rFonts w:cstheme="minorHAnsi"/>
          <w:color w:val="000000"/>
        </w:rPr>
      </w:pPr>
    </w:p>
    <w:p w:rsidR="00D4431F" w:rsidRPr="006149F1" w:rsidP="006B528F">
      <w:pPr>
        <w:autoSpaceDE w:val="0"/>
        <w:autoSpaceDN w:val="0"/>
        <w:adjustRightInd w:val="0"/>
        <w:spacing w:after="0" w:line="240" w:lineRule="auto"/>
        <w:rPr>
          <w:rFonts w:cstheme="minorHAnsi"/>
          <w:bCs/>
        </w:rPr>
      </w:pPr>
      <w:r>
        <w:rPr>
          <w:rFonts w:cstheme="minorHAnsi"/>
          <w:bCs/>
        </w:rPr>
        <w:t xml:space="preserve"> </w:t>
      </w:r>
    </w:p>
    <w:p w:rsidR="006149F1" w:rsidRPr="00D4431F" w:rsidP="006149F1">
      <w:pPr>
        <w:spacing w:after="0" w:line="240" w:lineRule="auto"/>
        <w:ind w:left="720"/>
        <w:jc w:val="both"/>
        <w:rPr>
          <w:rFonts w:cstheme="minorHAnsi"/>
          <w:bCs/>
        </w:rPr>
      </w:pPr>
    </w:p>
    <w:p w:rsidR="00D4431F" w:rsidP="00D4431F">
      <w:pPr>
        <w:spacing w:line="240" w:lineRule="auto"/>
        <w:jc w:val="both"/>
        <w:rPr>
          <w:rFonts w:asciiTheme="majorHAnsi" w:hAnsiTheme="majorHAnsi" w:cstheme="majorHAnsi"/>
          <w:bCs/>
          <w:sz w:val="14"/>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rsidR="006B528F" w:rsidRPr="006B528F" w:rsidP="00D4431F">
      <w:pPr>
        <w:spacing w:line="240" w:lineRule="auto"/>
        <w:jc w:val="both"/>
        <w:rPr>
          <w:rFonts w:asciiTheme="majorHAnsi" w:hAnsiTheme="majorHAnsi" w:cstheme="majorHAnsi"/>
          <w:bCs/>
        </w:rPr>
      </w:pPr>
      <w:r w:rsidRPr="006B528F">
        <w:rPr>
          <w:rFonts w:asciiTheme="majorHAnsi" w:hAnsiTheme="majorHAnsi" w:cstheme="majorHAnsi"/>
          <w:bCs/>
        </w:rPr>
        <w:t>Practical guidance for Local Authorities and Police 2018 edition</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Appendices</w:t>
      </w:r>
    </w:p>
    <w:p w:rsidR="006149F1" w:rsidRPr="006B528F" w:rsidP="006149F1">
      <w:pPr>
        <w:spacing w:after="0" w:line="240" w:lineRule="auto"/>
        <w:jc w:val="both"/>
        <w:rPr>
          <w:rFonts w:cstheme="minorHAnsi"/>
          <w:bCs/>
          <w:i/>
        </w:rPr>
      </w:pPr>
      <w:r w:rsidRPr="006B528F">
        <w:rPr>
          <w:rFonts w:cstheme="minorHAnsi"/>
          <w:b/>
          <w:iCs/>
        </w:rPr>
        <w:t>Appendix A</w:t>
      </w:r>
      <w:r>
        <w:rPr>
          <w:rFonts w:cstheme="minorHAnsi"/>
          <w:bCs/>
          <w:i/>
        </w:rPr>
        <w:t xml:space="preserve"> </w:t>
      </w:r>
      <w:r w:rsidRPr="006B528F" w:rsidR="0075695C">
        <w:rPr>
          <w:rFonts w:cs="Arial"/>
          <w:bCs/>
        </w:rPr>
        <w:t>Self-Assessment</w:t>
      </w:r>
      <w:r w:rsidRPr="006B528F">
        <w:rPr>
          <w:rFonts w:cs="Arial"/>
          <w:bCs/>
        </w:rPr>
        <w:t xml:space="preserve"> of Good Practice March 2021</w:t>
      </w:r>
    </w:p>
    <w:p w:rsidR="00D4431F" w:rsidRPr="006B528F" w:rsidP="006149F1">
      <w:pPr>
        <w:spacing w:after="0" w:line="240" w:lineRule="auto"/>
        <w:jc w:val="both"/>
        <w:rPr>
          <w:rFonts w:cstheme="minorHAnsi"/>
          <w:bCs/>
          <w:iCs/>
        </w:rPr>
      </w:pPr>
      <w:r w:rsidRPr="006B528F">
        <w:rPr>
          <w:rFonts w:cstheme="minorHAnsi"/>
          <w:b/>
          <w:iCs/>
        </w:rPr>
        <w:t xml:space="preserve">Appendix </w:t>
      </w:r>
      <w:r w:rsidR="0075695C">
        <w:rPr>
          <w:rFonts w:cstheme="minorHAnsi"/>
          <w:b/>
          <w:iCs/>
        </w:rPr>
        <w:t xml:space="preserve">B </w:t>
      </w:r>
      <w:r w:rsidRPr="0075695C" w:rsidR="0075695C">
        <w:rPr>
          <w:rFonts w:cstheme="minorHAnsi"/>
          <w:bCs/>
          <w:iCs/>
        </w:rPr>
        <w:t>Revised</w:t>
      </w:r>
      <w:r w:rsidRPr="006B528F" w:rsidR="006B528F">
        <w:rPr>
          <w:rFonts w:cstheme="minorHAnsi"/>
          <w:bCs/>
          <w:iCs/>
        </w:rPr>
        <w:t xml:space="preserve"> Terms of Reference</w:t>
      </w:r>
    </w:p>
    <w:p w:rsidR="00D4431F" w:rsidRPr="006B528F" w:rsidP="006149F1">
      <w:pPr>
        <w:spacing w:after="0" w:line="240" w:lineRule="auto"/>
        <w:jc w:val="both"/>
        <w:rPr>
          <w:rFonts w:cstheme="minorHAnsi"/>
          <w:bCs/>
          <w:iCs/>
        </w:rPr>
      </w:pPr>
      <w:r w:rsidRPr="006B528F">
        <w:rPr>
          <w:rFonts w:cstheme="minorHAnsi"/>
          <w:b/>
          <w:iCs/>
        </w:rPr>
        <w:t>Appendix C</w:t>
      </w:r>
      <w:r w:rsidRPr="006B528F">
        <w:rPr>
          <w:rFonts w:cstheme="minorHAnsi"/>
          <w:bCs/>
          <w:iCs/>
        </w:rPr>
        <w:t xml:space="preserve"> Skills and Knowledge </w:t>
      </w:r>
      <w:r w:rsidRPr="006B528F" w:rsidR="0075695C">
        <w:rPr>
          <w:rFonts w:cstheme="minorHAnsi"/>
          <w:bCs/>
          <w:iCs/>
        </w:rPr>
        <w:t>self-assessment</w:t>
      </w:r>
      <w:r w:rsidRPr="006B528F" w:rsidR="00D47BF5">
        <w:rPr>
          <w:rFonts w:cstheme="minorHAnsi"/>
          <w:bCs/>
          <w:iCs/>
        </w:rPr>
        <w:t>.</w:t>
      </w:r>
    </w:p>
    <w:p w:rsidR="00D4431F" w:rsidRPr="00D4431F" w:rsidP="00D4431F">
      <w:pPr>
        <w:spacing w:line="240" w:lineRule="auto"/>
        <w:jc w:val="both"/>
        <w:rPr>
          <w:rFonts w:cstheme="minorHAnsi"/>
          <w:bCs/>
        </w:rPr>
      </w:pPr>
    </w:p>
    <w:p w:rsidR="00D4431F" w:rsidRPr="00D4431F" w:rsidP="006149F1">
      <w:pPr>
        <w:spacing w:after="0" w:line="240" w:lineRule="auto"/>
        <w:jc w:val="both"/>
        <w:rPr>
          <w:rFonts w:cstheme="minorHAnsi"/>
          <w:bCs/>
        </w:rPr>
      </w:pPr>
      <w:r>
        <w:rPr>
          <w:rFonts w:cstheme="minorHAnsi"/>
          <w:bCs/>
        </w:rPr>
        <w:t xml:space="preserve">Dawn Highton </w:t>
      </w:r>
    </w:p>
    <w:p w:rsidR="00D4431F" w:rsidRPr="00D4431F" w:rsidP="006149F1">
      <w:pPr>
        <w:spacing w:after="0" w:line="240" w:lineRule="auto"/>
        <w:jc w:val="both"/>
        <w:rPr>
          <w:rFonts w:cstheme="minorHAnsi"/>
          <w:bCs/>
        </w:rPr>
      </w:pPr>
      <w:r>
        <w:rPr>
          <w:rFonts w:cstheme="minorHAnsi"/>
          <w:bCs/>
        </w:rPr>
        <w:t>Service Lead – Audit and Risk</w:t>
      </w:r>
      <w:r w:rsidRPr="00D4431F" w:rsidR="00D47BF5">
        <w:rPr>
          <w:rFonts w:cstheme="minorHAnsi"/>
          <w:bCs/>
        </w:rPr>
        <w:t xml:space="preserve"> </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3534"/>
        <w:gridCol w:w="1467"/>
        <w:gridCol w:w="1148"/>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fldChar w:fldCharType="end"/>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sidR="006B528F">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11/3/21</w:t>
            </w:r>
          </w:p>
        </w:tc>
      </w:tr>
    </w:tbl>
    <w:p w:rsidR="0025620C" w:rsidRPr="005C459D">
      <w:pPr>
        <w:rPr>
          <w:rFonts w:cstheme="minorHAnsi"/>
          <w:bCs/>
          <w:color w:val="000000" w:themeColor="text1"/>
          <w:lang w:val="en-US"/>
        </w:rPr>
      </w:pPr>
    </w:p>
    <w:sectPr w:rsidSect="00D4431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AB0">
    <w:pPr>
      <w:pStyle w:val="Footer"/>
    </w:pPr>
    <w:r>
      <w:rPr>
        <w:noProof/>
        <w:lang w:eastAsia="en-GB"/>
      </w:rPr>
      <w:drawing>
        <wp:anchor distT="0" distB="0" distL="114300" distR="114300" simplePos="0" relativeHeight="251658240" behindDoc="1" locked="1" layoutInCell="1" allowOverlap="0">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39807" name="SRBC logo CMYK 2020.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CD22ED"/>
    <w:multiLevelType w:val="hybridMultilevel"/>
    <w:tmpl w:val="1772E19A"/>
    <w:lvl w:ilvl="0">
      <w:start w:val="1"/>
      <w:numFmt w:val="lowerLetter"/>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
    <w:nsid w:val="2D4E4EA7"/>
    <w:multiLevelType w:val="hybridMultilevel"/>
    <w:tmpl w:val="11EE41EE"/>
    <w:lvl w:ilvl="0">
      <w:start w:val="5"/>
      <w:numFmt w:val="decimal"/>
      <w:lvlText w:val="%1."/>
      <w:lvlJc w:val="left"/>
      <w:pPr>
        <w:ind w:left="786"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30AD2BB8"/>
    <w:multiLevelType w:val="hybridMultilevel"/>
    <w:tmpl w:val="10F278D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10B123F"/>
    <w:multiLevelType w:val="hybridMultilevel"/>
    <w:tmpl w:val="5A7E1D66"/>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6">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9050B4"/>
    <w:multiLevelType w:val="hybridMultilevel"/>
    <w:tmpl w:val="D2C6794C"/>
    <w:lvl w:ilvl="0">
      <w:start w:val="6"/>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BF00E5"/>
    <w:multiLevelType w:val="hybridMultilevel"/>
    <w:tmpl w:val="F7C6EA8A"/>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660100"/>
    <w:multiLevelType w:val="hybridMultilevel"/>
    <w:tmpl w:val="0C463D72"/>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9D1527"/>
    <w:multiLevelType w:val="hybridMultilevel"/>
    <w:tmpl w:val="7ADA712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919782C"/>
    <w:multiLevelType w:val="hybridMultilevel"/>
    <w:tmpl w:val="DFE29576"/>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Wingdings"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Wingdings"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Wingdings"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5">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8"/>
  </w:num>
  <w:num w:numId="4">
    <w:abstractNumId w:val="11"/>
  </w:num>
  <w:num w:numId="5">
    <w:abstractNumId w:val="6"/>
  </w:num>
  <w:num w:numId="6">
    <w:abstractNumId w:val="2"/>
  </w:num>
  <w:num w:numId="7">
    <w:abstractNumId w:val="4"/>
  </w:num>
  <w:num w:numId="8">
    <w:abstractNumId w:val="9"/>
  </w:num>
  <w:num w:numId="9">
    <w:abstractNumId w:val="5"/>
  </w:num>
  <w:num w:numId="10">
    <w:abstractNumId w:val="14"/>
  </w:num>
  <w:num w:numId="11">
    <w:abstractNumId w:val="13"/>
  </w:num>
  <w:num w:numId="12">
    <w:abstractNumId w:val="1"/>
  </w:num>
  <w:num w:numId="13">
    <w:abstractNumId w:val="10"/>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BodyText2">
    <w:name w:val="Body Text 2"/>
    <w:basedOn w:val="Normal"/>
    <w:link w:val="BodyText2Char"/>
    <w:uiPriority w:val="99"/>
    <w:semiHidden/>
    <w:unhideWhenUsed/>
    <w:rsid w:val="00A05F38"/>
    <w:pPr>
      <w:spacing w:after="120" w:line="480" w:lineRule="auto"/>
    </w:pPr>
  </w:style>
  <w:style w:type="character" w:customStyle="1" w:styleId="BodyText2Char">
    <w:name w:val="Body Text 2 Char"/>
    <w:basedOn w:val="DefaultParagraphFont"/>
    <w:link w:val="BodyText2"/>
    <w:rsid w:val="00A0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A4AA4B-AA7E-466D-AD46-C1309254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6</cp:revision>
  <cp:lastPrinted>2014-03-21T13:56:00Z</cp:lastPrinted>
  <dcterms:created xsi:type="dcterms:W3CDTF">2021-03-11T21:27:00Z</dcterms:created>
  <dcterms:modified xsi:type="dcterms:W3CDTF">2021-03-12T12:46:00Z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Governance Committee Effectiveness Review</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
  </property>
  <property fmtid="{D5CDD505-2E9C-101B-9397-08002B2CF9AE}" pid="8" name="MeetingDate">
    <vt:lpwstr>Tuesday, 23 March 2021</vt:lpwstr>
  </property>
</Properties>
</file>